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DC7CD" w14:textId="60045270" w:rsidR="00AE6227" w:rsidRDefault="00A25859" w:rsidP="00B316E3">
      <w:pPr>
        <w:pStyle w:val="Heading1"/>
      </w:pPr>
      <w:bookmarkStart w:id="0" w:name="_GoBack"/>
      <w:bookmarkEnd w:id="0"/>
      <w:r>
        <w:t xml:space="preserve">Types of information </w:t>
      </w:r>
      <w:r w:rsidR="00751E99">
        <w:t>–</w:t>
      </w:r>
      <w:r>
        <w:t xml:space="preserve"> transcript</w:t>
      </w:r>
      <w:r w:rsidR="00751E99">
        <w:t>.</w:t>
      </w:r>
    </w:p>
    <w:p w14:paraId="38A68E85" w14:textId="5C0CD9D1" w:rsidR="002952CC" w:rsidRDefault="00B316E3" w:rsidP="00B316E3">
      <w:pPr>
        <w:pStyle w:val="Heading2"/>
      </w:pPr>
      <w:r>
        <w:t xml:space="preserve">1. </w:t>
      </w:r>
      <w:r w:rsidR="00916AC1" w:rsidRPr="00B316E3">
        <w:rPr>
          <w:sz w:val="27"/>
          <w:szCs w:val="27"/>
        </w:rPr>
        <w:t>Primary</w:t>
      </w:r>
      <w:r w:rsidR="007E40C1">
        <w:rPr>
          <w:sz w:val="27"/>
          <w:szCs w:val="27"/>
        </w:rPr>
        <w:t>.</w:t>
      </w:r>
      <w:r w:rsidR="00916AC1" w:rsidRPr="00B316E3">
        <w:rPr>
          <w:sz w:val="28"/>
        </w:rPr>
        <w:t xml:space="preserve"> </w:t>
      </w:r>
    </w:p>
    <w:p w14:paraId="5A279F75" w14:textId="63265D50" w:rsidR="0016032B" w:rsidRDefault="0016032B" w:rsidP="00B316E3">
      <w:pPr>
        <w:pStyle w:val="Heading3"/>
      </w:pPr>
      <w:r>
        <w:t>1.1 First Hand</w:t>
      </w:r>
      <w:r w:rsidR="007E40C1">
        <w:t>:</w:t>
      </w:r>
      <w:r>
        <w:t xml:space="preserve"> </w:t>
      </w:r>
    </w:p>
    <w:p w14:paraId="3C08C338" w14:textId="17BD7469" w:rsidR="00E97A3A" w:rsidRPr="0016032B" w:rsidRDefault="00E97A3A" w:rsidP="00B316E3">
      <w:r w:rsidRPr="0016032B">
        <w:t>First-hand evidence about an event, object, person or work of art.</w:t>
      </w:r>
    </w:p>
    <w:p w14:paraId="50F9EAFB" w14:textId="52A25DBA" w:rsidR="0016032B" w:rsidRDefault="0016032B" w:rsidP="00B316E3">
      <w:pPr>
        <w:pStyle w:val="Heading3"/>
      </w:pPr>
      <w:r>
        <w:t>1.2 Original</w:t>
      </w:r>
      <w:r w:rsidR="007E40C1">
        <w:t>:</w:t>
      </w:r>
    </w:p>
    <w:p w14:paraId="15FCAA81" w14:textId="340578D9" w:rsidR="00E97A3A" w:rsidRPr="0016032B" w:rsidRDefault="00E97A3A" w:rsidP="00B316E3">
      <w:r w:rsidRPr="0016032B">
        <w:t>Straight from the original source</w:t>
      </w:r>
    </w:p>
    <w:p w14:paraId="583CDF9C" w14:textId="33398EF8" w:rsidR="0016032B" w:rsidRDefault="0016032B" w:rsidP="0016032B">
      <w:pPr>
        <w:rPr>
          <w:sz w:val="21"/>
          <w:szCs w:val="21"/>
        </w:rPr>
      </w:pPr>
      <w:r>
        <w:rPr>
          <w:sz w:val="21"/>
          <w:szCs w:val="21"/>
        </w:rPr>
        <w:t xml:space="preserve">1.3 </w:t>
      </w:r>
      <w:r w:rsidRPr="00B316E3">
        <w:rPr>
          <w:rStyle w:val="Heading3Char"/>
        </w:rPr>
        <w:t>Evidence</w:t>
      </w:r>
      <w:r w:rsidR="007E40C1">
        <w:rPr>
          <w:rStyle w:val="Heading3Char"/>
        </w:rPr>
        <w:t>:</w:t>
      </w:r>
    </w:p>
    <w:p w14:paraId="624EAB09" w14:textId="6F6386F2" w:rsidR="00E97A3A" w:rsidRPr="0016032B" w:rsidRDefault="00E97A3A" w:rsidP="0016032B">
      <w:pPr>
        <w:rPr>
          <w:sz w:val="21"/>
          <w:szCs w:val="21"/>
        </w:rPr>
      </w:pPr>
      <w:r w:rsidRPr="0016032B">
        <w:rPr>
          <w:sz w:val="21"/>
          <w:szCs w:val="21"/>
        </w:rPr>
        <w:t>Evidence made up of original documents and raw data</w:t>
      </w:r>
    </w:p>
    <w:p w14:paraId="743717A4" w14:textId="61C76ABE" w:rsidR="00E97A3A" w:rsidRDefault="00E97A3A" w:rsidP="00E97A3A">
      <w:pPr>
        <w:rPr>
          <w:sz w:val="21"/>
          <w:szCs w:val="21"/>
        </w:rPr>
      </w:pPr>
      <w:r w:rsidRPr="00B316E3">
        <w:t>Examples</w:t>
      </w:r>
      <w:r>
        <w:rPr>
          <w:sz w:val="21"/>
          <w:szCs w:val="21"/>
        </w:rPr>
        <w:t>:</w:t>
      </w:r>
    </w:p>
    <w:p w14:paraId="5899D1A8" w14:textId="319593F5" w:rsidR="00E97A3A" w:rsidRPr="0016032B" w:rsidRDefault="0016032B" w:rsidP="00A25859">
      <w:pPr>
        <w:pStyle w:val="ListParagraph"/>
        <w:numPr>
          <w:ilvl w:val="0"/>
          <w:numId w:val="22"/>
        </w:numPr>
        <w:ind w:left="426"/>
        <w:rPr>
          <w:sz w:val="21"/>
          <w:szCs w:val="21"/>
        </w:rPr>
      </w:pPr>
      <w:r>
        <w:rPr>
          <w:sz w:val="21"/>
          <w:szCs w:val="21"/>
        </w:rPr>
        <w:t>Historical and legal documents -t</w:t>
      </w:r>
      <w:r w:rsidR="00E97A3A" w:rsidRPr="0016032B">
        <w:rPr>
          <w:sz w:val="21"/>
          <w:szCs w:val="21"/>
        </w:rPr>
        <w:t>hese could be government publications, legal documents such as legislation and case law, oral histories, company records, eyewitness accounts</w:t>
      </w:r>
      <w:r w:rsidR="00715F50">
        <w:rPr>
          <w:sz w:val="21"/>
          <w:szCs w:val="21"/>
        </w:rPr>
        <w:t>.</w:t>
      </w:r>
    </w:p>
    <w:p w14:paraId="44D1DFA4" w14:textId="17ED4E8B" w:rsidR="00E97A3A" w:rsidRPr="0016032B" w:rsidRDefault="00E97A3A" w:rsidP="00A25859">
      <w:pPr>
        <w:pStyle w:val="ListParagraph"/>
        <w:numPr>
          <w:ilvl w:val="0"/>
          <w:numId w:val="22"/>
        </w:numPr>
        <w:ind w:left="426"/>
        <w:rPr>
          <w:sz w:val="21"/>
          <w:szCs w:val="21"/>
        </w:rPr>
      </w:pPr>
      <w:r w:rsidRPr="00E97A3A">
        <w:rPr>
          <w:sz w:val="21"/>
          <w:szCs w:val="21"/>
        </w:rPr>
        <w:t>Diaries</w:t>
      </w:r>
      <w:r w:rsidR="0016032B">
        <w:rPr>
          <w:sz w:val="21"/>
          <w:szCs w:val="21"/>
        </w:rPr>
        <w:t xml:space="preserve"> - j</w:t>
      </w:r>
      <w:r w:rsidRPr="0016032B">
        <w:rPr>
          <w:sz w:val="21"/>
          <w:szCs w:val="21"/>
        </w:rPr>
        <w:t>ournals, letters and diaries.</w:t>
      </w:r>
    </w:p>
    <w:p w14:paraId="774A93A9" w14:textId="41192312" w:rsidR="00E97A3A" w:rsidRPr="0016032B" w:rsidRDefault="00E97A3A" w:rsidP="00A25859">
      <w:pPr>
        <w:pStyle w:val="ListParagraph"/>
        <w:numPr>
          <w:ilvl w:val="0"/>
          <w:numId w:val="22"/>
        </w:numPr>
        <w:ind w:left="426"/>
        <w:rPr>
          <w:sz w:val="21"/>
          <w:szCs w:val="21"/>
        </w:rPr>
      </w:pPr>
      <w:r w:rsidRPr="00E97A3A">
        <w:rPr>
          <w:sz w:val="21"/>
          <w:szCs w:val="21"/>
        </w:rPr>
        <w:t>Works of Art and Recordings</w:t>
      </w:r>
      <w:r w:rsidR="0016032B">
        <w:rPr>
          <w:sz w:val="21"/>
          <w:szCs w:val="21"/>
        </w:rPr>
        <w:t xml:space="preserve"> - i</w:t>
      </w:r>
      <w:r w:rsidRPr="0016032B">
        <w:rPr>
          <w:sz w:val="21"/>
          <w:szCs w:val="21"/>
        </w:rPr>
        <w:t>ncluding photographs, audio recordings, video recordings and films, original works of art, creative writing</w:t>
      </w:r>
      <w:r w:rsidR="00715F50">
        <w:rPr>
          <w:sz w:val="21"/>
          <w:szCs w:val="21"/>
        </w:rPr>
        <w:t>.</w:t>
      </w:r>
    </w:p>
    <w:p w14:paraId="1CFA4B41" w14:textId="26EE8FF0" w:rsidR="00097FFA" w:rsidRDefault="00B316E3" w:rsidP="00B316E3">
      <w:pPr>
        <w:pStyle w:val="Heading2"/>
      </w:pPr>
      <w:r>
        <w:t xml:space="preserve">2. </w:t>
      </w:r>
      <w:r w:rsidR="00916AC1">
        <w:t>Secondary</w:t>
      </w:r>
      <w:r w:rsidR="007E40C1">
        <w:t>.</w:t>
      </w:r>
      <w:r w:rsidR="00916AC1">
        <w:t xml:space="preserve"> </w:t>
      </w:r>
    </w:p>
    <w:p w14:paraId="07A6CAC9" w14:textId="30AE2E24" w:rsidR="0016032B" w:rsidRPr="0016032B" w:rsidRDefault="00B316E3" w:rsidP="00B316E3">
      <w:pPr>
        <w:pStyle w:val="Heading3"/>
        <w:rPr>
          <w:lang w:eastAsia="en-GB"/>
        </w:rPr>
      </w:pPr>
      <w:r>
        <w:rPr>
          <w:lang w:eastAsia="en-GB"/>
        </w:rPr>
        <w:t xml:space="preserve">2.1 </w:t>
      </w:r>
      <w:r w:rsidR="00E97A3A" w:rsidRPr="0016032B">
        <w:rPr>
          <w:lang w:eastAsia="en-GB"/>
        </w:rPr>
        <w:t>Second-hand</w:t>
      </w:r>
      <w:r w:rsidR="007E40C1">
        <w:rPr>
          <w:lang w:eastAsia="en-GB"/>
        </w:rPr>
        <w:t>:</w:t>
      </w:r>
      <w:r w:rsidR="00E97A3A" w:rsidRPr="0016032B">
        <w:rPr>
          <w:lang w:eastAsia="en-GB"/>
        </w:rPr>
        <w:t xml:space="preserve"> </w:t>
      </w:r>
    </w:p>
    <w:p w14:paraId="596A42C6" w14:textId="6CFE9C30" w:rsidR="00E97A3A" w:rsidRPr="0016032B" w:rsidRDefault="00E97A3A" w:rsidP="00B316E3">
      <w:pPr>
        <w:rPr>
          <w:lang w:eastAsia="en-GB"/>
        </w:rPr>
      </w:pPr>
      <w:r w:rsidRPr="0016032B">
        <w:rPr>
          <w:lang w:eastAsia="en-GB"/>
        </w:rPr>
        <w:t xml:space="preserve">Created later by someone who didn't have first-hand experience. Secondary sources describe, discuss, interpret, comment upon, </w:t>
      </w:r>
      <w:r w:rsidR="0016032B" w:rsidRPr="0016032B">
        <w:rPr>
          <w:lang w:eastAsia="en-GB"/>
        </w:rPr>
        <w:t>analyse</w:t>
      </w:r>
      <w:r w:rsidRPr="0016032B">
        <w:rPr>
          <w:lang w:eastAsia="en-GB"/>
        </w:rPr>
        <w:t>, evaluate, summarize, and process primary sources.</w:t>
      </w:r>
    </w:p>
    <w:p w14:paraId="3FECA454" w14:textId="2309558A" w:rsidR="0016032B" w:rsidRPr="0016032B" w:rsidRDefault="00B316E3" w:rsidP="00B316E3">
      <w:pPr>
        <w:pStyle w:val="Heading3"/>
        <w:rPr>
          <w:lang w:eastAsia="en-GB"/>
        </w:rPr>
      </w:pPr>
      <w:r>
        <w:rPr>
          <w:lang w:eastAsia="en-GB"/>
        </w:rPr>
        <w:t xml:space="preserve">2.2 </w:t>
      </w:r>
      <w:r w:rsidR="00E97A3A" w:rsidRPr="0016032B">
        <w:rPr>
          <w:lang w:eastAsia="en-GB"/>
        </w:rPr>
        <w:t>Not original</w:t>
      </w:r>
      <w:r w:rsidR="007E40C1">
        <w:rPr>
          <w:lang w:eastAsia="en-GB"/>
        </w:rPr>
        <w:t>:</w:t>
      </w:r>
      <w:r w:rsidR="00E97A3A" w:rsidRPr="0016032B">
        <w:rPr>
          <w:lang w:eastAsia="en-GB"/>
        </w:rPr>
        <w:t xml:space="preserve"> </w:t>
      </w:r>
    </w:p>
    <w:p w14:paraId="228E4F63" w14:textId="156ADEA9" w:rsidR="00A83E16" w:rsidRPr="0016032B" w:rsidRDefault="00E97A3A" w:rsidP="00B316E3">
      <w:r w:rsidRPr="0016032B">
        <w:t>A secondary source is one that gives information about a primary source. Secondary sources involve generalization, analysis, synthesis, interpretation or evaluation of the original information.</w:t>
      </w:r>
    </w:p>
    <w:p w14:paraId="304D3DFD" w14:textId="73E9BA0E" w:rsidR="0016032B" w:rsidRDefault="0016032B" w:rsidP="00B316E3">
      <w:pPr>
        <w:pStyle w:val="Heading3"/>
      </w:pPr>
      <w:r>
        <w:t xml:space="preserve">2.3 </w:t>
      </w:r>
      <w:r w:rsidR="00E97A3A" w:rsidRPr="0016032B">
        <w:t>After the event</w:t>
      </w:r>
      <w:r w:rsidR="007E40C1">
        <w:t>:</w:t>
      </w:r>
      <w:r w:rsidR="00E97A3A" w:rsidRPr="0016032B">
        <w:t xml:space="preserve"> </w:t>
      </w:r>
    </w:p>
    <w:p w14:paraId="5F9F9B47" w14:textId="2C34BF9A" w:rsidR="00E97A3A" w:rsidRPr="0016032B" w:rsidRDefault="00E97A3A" w:rsidP="00B316E3">
      <w:pPr>
        <w:rPr>
          <w:lang w:eastAsia="en-GB"/>
        </w:rPr>
      </w:pPr>
      <w:r w:rsidRPr="0016032B">
        <w:rPr>
          <w:lang w:eastAsia="en-GB"/>
        </w:rPr>
        <w:t>Written or produced after the event has passed</w:t>
      </w:r>
      <w:r w:rsidRPr="0016032B">
        <w:rPr>
          <w:color w:val="404040"/>
          <w:lang w:eastAsia="en-GB"/>
        </w:rPr>
        <w:t> with the benefit of hindsight</w:t>
      </w:r>
      <w:r w:rsidR="00715F50">
        <w:rPr>
          <w:color w:val="404040"/>
          <w:lang w:eastAsia="en-GB"/>
        </w:rPr>
        <w:t>.</w:t>
      </w:r>
    </w:p>
    <w:p w14:paraId="15A62344" w14:textId="2B0A06F3" w:rsidR="00E97A3A" w:rsidRPr="0016032B" w:rsidRDefault="0016032B" w:rsidP="00B316E3">
      <w:pPr>
        <w:rPr>
          <w:rFonts w:cs="Open Sans"/>
          <w:lang w:eastAsia="en-GB"/>
        </w:rPr>
      </w:pPr>
      <w:r>
        <w:rPr>
          <w:rFonts w:cs="Open Sans"/>
          <w:lang w:eastAsia="en-GB"/>
        </w:rPr>
        <w:t>Examples:</w:t>
      </w:r>
    </w:p>
    <w:p w14:paraId="683C6143" w14:textId="77777777" w:rsidR="0016032B" w:rsidRPr="0016032B" w:rsidRDefault="00E97A3A" w:rsidP="00B316E3">
      <w:pPr>
        <w:pStyle w:val="ListParagraph"/>
        <w:numPr>
          <w:ilvl w:val="0"/>
          <w:numId w:val="24"/>
        </w:numPr>
        <w:spacing w:before="100" w:beforeAutospacing="1" w:after="100" w:afterAutospacing="1"/>
        <w:ind w:left="426"/>
        <w:rPr>
          <w:rFonts w:cs="Open Sans"/>
          <w:lang w:eastAsia="en-GB"/>
        </w:rPr>
      </w:pPr>
      <w:r w:rsidRPr="0016032B">
        <w:rPr>
          <w:rFonts w:cs="Open Sans"/>
          <w:lang w:eastAsia="en-GB"/>
        </w:rPr>
        <w:t>Books</w:t>
      </w:r>
      <w:r w:rsidR="0016032B" w:rsidRPr="0016032B">
        <w:rPr>
          <w:rFonts w:cs="Open Sans"/>
          <w:lang w:eastAsia="en-GB"/>
        </w:rPr>
        <w:t xml:space="preserve"> - t</w:t>
      </w:r>
      <w:r w:rsidRPr="0016032B">
        <w:rPr>
          <w:rFonts w:cs="Open Sans"/>
          <w:lang w:eastAsia="en-GB"/>
        </w:rPr>
        <w:t>extbooks and monographs which p</w:t>
      </w:r>
      <w:r w:rsidRPr="0016032B">
        <w:rPr>
          <w:rFonts w:cs="Open Sans"/>
          <w:color w:val="222222"/>
          <w:lang w:eastAsia="en-GB"/>
        </w:rPr>
        <w:t>rovide broad, foundational coverage of a topic, usually with an in-depth analysis.</w:t>
      </w:r>
    </w:p>
    <w:p w14:paraId="4E328204" w14:textId="458C37F5" w:rsidR="0016032B" w:rsidRDefault="00E97A3A" w:rsidP="00B316E3">
      <w:pPr>
        <w:pStyle w:val="ListParagraph"/>
        <w:numPr>
          <w:ilvl w:val="0"/>
          <w:numId w:val="24"/>
        </w:numPr>
        <w:spacing w:before="100" w:beforeAutospacing="1" w:after="100" w:afterAutospacing="1"/>
        <w:ind w:left="426"/>
        <w:rPr>
          <w:rFonts w:cs="Open Sans"/>
          <w:lang w:eastAsia="en-GB"/>
        </w:rPr>
      </w:pPr>
      <w:r w:rsidRPr="0016032B">
        <w:rPr>
          <w:rFonts w:cs="Open Sans"/>
          <w:lang w:eastAsia="en-GB"/>
        </w:rPr>
        <w:t>Scholarly Article</w:t>
      </w:r>
      <w:r w:rsidR="0016032B">
        <w:rPr>
          <w:rFonts w:cs="Open Sans"/>
          <w:lang w:eastAsia="en-GB"/>
        </w:rPr>
        <w:t>s</w:t>
      </w:r>
      <w:r w:rsidR="00FD5FDF">
        <w:rPr>
          <w:rFonts w:cs="Open Sans"/>
          <w:lang w:eastAsia="en-GB"/>
        </w:rPr>
        <w:t xml:space="preserve"> –</w:t>
      </w:r>
      <w:r w:rsidR="0016032B">
        <w:rPr>
          <w:rFonts w:cs="Open Sans"/>
          <w:lang w:eastAsia="en-GB"/>
        </w:rPr>
        <w:t xml:space="preserve"> </w:t>
      </w:r>
      <w:r w:rsidR="00FD5FDF">
        <w:rPr>
          <w:rFonts w:cs="Open Sans"/>
          <w:lang w:eastAsia="en-GB"/>
        </w:rPr>
        <w:t xml:space="preserve">are </w:t>
      </w:r>
      <w:r w:rsidR="0016032B">
        <w:rPr>
          <w:rFonts w:cs="Open Sans"/>
          <w:lang w:eastAsia="en-GB"/>
        </w:rPr>
        <w:t>a</w:t>
      </w:r>
      <w:r w:rsidRPr="0016032B">
        <w:rPr>
          <w:rFonts w:cs="Open Sans"/>
          <w:color w:val="222222"/>
          <w:lang w:eastAsia="en-GB"/>
        </w:rPr>
        <w:t>rticles written and reviewed by experts in the discipline </w:t>
      </w:r>
      <w:r w:rsidRPr="0016032B">
        <w:rPr>
          <w:rFonts w:cs="Open Sans"/>
          <w:lang w:eastAsia="en-GB"/>
        </w:rPr>
        <w:t>after the event or research has been undertaken</w:t>
      </w:r>
      <w:r w:rsidR="0016032B">
        <w:rPr>
          <w:rFonts w:cs="Open Sans"/>
          <w:lang w:eastAsia="en-GB"/>
        </w:rPr>
        <w:t>.</w:t>
      </w:r>
    </w:p>
    <w:p w14:paraId="7E0145FC" w14:textId="312A9096" w:rsidR="00E97A3A" w:rsidRPr="00A25859" w:rsidRDefault="0016032B" w:rsidP="00BE55E2">
      <w:pPr>
        <w:pStyle w:val="ListParagraph"/>
        <w:numPr>
          <w:ilvl w:val="0"/>
          <w:numId w:val="24"/>
        </w:numPr>
        <w:spacing w:before="100" w:beforeAutospacing="1" w:after="100" w:afterAutospacing="1"/>
        <w:ind w:left="426"/>
        <w:rPr>
          <w:rFonts w:cs="Open Sans"/>
          <w:lang w:eastAsia="en-GB"/>
        </w:rPr>
      </w:pPr>
      <w:r w:rsidRPr="00A25859">
        <w:rPr>
          <w:rFonts w:cs="Open Sans"/>
          <w:lang w:eastAsia="en-GB"/>
        </w:rPr>
        <w:t>Newspapers -n</w:t>
      </w:r>
      <w:r w:rsidR="00E97A3A" w:rsidRPr="00A25859">
        <w:rPr>
          <w:rFonts w:cs="Open Sans"/>
          <w:lang w:eastAsia="en-GB"/>
        </w:rPr>
        <w:t>ews reports of something that has already happened. </w:t>
      </w:r>
      <w:r w:rsidR="00E97A3A" w:rsidRPr="00A25859">
        <w:rPr>
          <w:rFonts w:cs="Open Sans"/>
          <w:color w:val="222222"/>
          <w:lang w:eastAsia="en-GB"/>
        </w:rPr>
        <w:t> Available in print and online and one of the first mediums to report on an event after social media.</w:t>
      </w:r>
    </w:p>
    <w:sectPr w:rsidR="00E97A3A" w:rsidRPr="00A25859" w:rsidSect="00A25859">
      <w:headerReference w:type="default" r:id="rId10"/>
      <w:footerReference w:type="default" r:id="rId11"/>
      <w:pgSz w:w="11906" w:h="16838"/>
      <w:pgMar w:top="1440" w:right="1440" w:bottom="1134" w:left="1440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102F1" w14:textId="77777777" w:rsidR="00905F42" w:rsidRDefault="00905F42" w:rsidP="00B06C28">
      <w:pPr>
        <w:spacing w:after="0"/>
      </w:pPr>
      <w:r>
        <w:separator/>
      </w:r>
    </w:p>
  </w:endnote>
  <w:endnote w:type="continuationSeparator" w:id="0">
    <w:p w14:paraId="45B3C5E1" w14:textId="77777777" w:rsidR="00905F42" w:rsidRDefault="00905F42" w:rsidP="00B06C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281B6" w14:textId="684F6445" w:rsidR="00B316E3" w:rsidRPr="00B316E3" w:rsidRDefault="00B316E3" w:rsidP="00B316E3">
    <w:pPr>
      <w:pStyle w:val="Footer"/>
      <w:jc w:val="center"/>
      <w:rPr>
        <w:sz w:val="20"/>
      </w:rPr>
    </w:pPr>
    <w:r w:rsidRPr="00B316E3">
      <w:rPr>
        <w:sz w:val="20"/>
      </w:rPr>
      <w:t xml:space="preserve">Page </w:t>
    </w:r>
    <w:r w:rsidRPr="00B316E3">
      <w:rPr>
        <w:bCs/>
        <w:sz w:val="20"/>
      </w:rPr>
      <w:fldChar w:fldCharType="begin"/>
    </w:r>
    <w:r w:rsidRPr="00B316E3">
      <w:rPr>
        <w:bCs/>
        <w:sz w:val="20"/>
      </w:rPr>
      <w:instrText xml:space="preserve"> PAGE  \* Arabic  \* MERGEFORMAT </w:instrText>
    </w:r>
    <w:r w:rsidRPr="00B316E3">
      <w:rPr>
        <w:bCs/>
        <w:sz w:val="20"/>
      </w:rPr>
      <w:fldChar w:fldCharType="separate"/>
    </w:r>
    <w:r w:rsidR="00F8688D">
      <w:rPr>
        <w:bCs/>
        <w:noProof/>
        <w:sz w:val="20"/>
      </w:rPr>
      <w:t>1</w:t>
    </w:r>
    <w:r w:rsidRPr="00B316E3">
      <w:rPr>
        <w:bCs/>
        <w:sz w:val="20"/>
      </w:rPr>
      <w:fldChar w:fldCharType="end"/>
    </w:r>
    <w:r w:rsidRPr="00B316E3">
      <w:rPr>
        <w:sz w:val="20"/>
      </w:rPr>
      <w:t xml:space="preserve"> of </w:t>
    </w:r>
    <w:r w:rsidRPr="00B316E3">
      <w:rPr>
        <w:bCs/>
        <w:sz w:val="20"/>
      </w:rPr>
      <w:fldChar w:fldCharType="begin"/>
    </w:r>
    <w:r w:rsidRPr="00B316E3">
      <w:rPr>
        <w:bCs/>
        <w:sz w:val="20"/>
      </w:rPr>
      <w:instrText xml:space="preserve"> NUMPAGES  \* Arabic  \* MERGEFORMAT </w:instrText>
    </w:r>
    <w:r w:rsidRPr="00B316E3">
      <w:rPr>
        <w:bCs/>
        <w:sz w:val="20"/>
      </w:rPr>
      <w:fldChar w:fldCharType="separate"/>
    </w:r>
    <w:r w:rsidR="00F8688D">
      <w:rPr>
        <w:bCs/>
        <w:noProof/>
        <w:sz w:val="20"/>
      </w:rPr>
      <w:t>1</w:t>
    </w:r>
    <w:r w:rsidRPr="00B316E3">
      <w:rPr>
        <w:bCs/>
        <w:sz w:val="20"/>
      </w:rPr>
      <w:fldChar w:fldCharType="end"/>
    </w:r>
  </w:p>
  <w:p w14:paraId="19C8F760" w14:textId="437D1E90" w:rsidR="00B06C28" w:rsidRDefault="00B316E3" w:rsidP="00B316E3">
    <w:pPr>
      <w:pStyle w:val="Footer"/>
      <w:jc w:val="right"/>
    </w:pPr>
    <w:r>
      <w:rPr>
        <w:noProof/>
      </w:rPr>
      <w:drawing>
        <wp:inline distT="0" distB="0" distL="0" distR="0" wp14:anchorId="739C983D" wp14:editId="59894A61">
          <wp:extent cx="339766" cy="472104"/>
          <wp:effectExtent l="0" t="0" r="3175" b="4445"/>
          <wp:docPr id="11" name="Picture 11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N Icon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56439" cy="49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A6F80" w14:textId="77777777" w:rsidR="00905F42" w:rsidRDefault="00905F42" w:rsidP="00B06C28">
      <w:pPr>
        <w:spacing w:after="0"/>
      </w:pPr>
      <w:r>
        <w:separator/>
      </w:r>
    </w:p>
  </w:footnote>
  <w:footnote w:type="continuationSeparator" w:id="0">
    <w:p w14:paraId="78E93D45" w14:textId="77777777" w:rsidR="00905F42" w:rsidRDefault="00905F42" w:rsidP="00B06C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4BC1" w14:textId="3EE4FB6A" w:rsidR="00AD7356" w:rsidRDefault="00B316E3" w:rsidP="00B316E3">
    <w:pPr>
      <w:spacing w:before="240"/>
      <w:jc w:val="center"/>
    </w:pPr>
    <w:r w:rsidRPr="002E2BD8">
      <w:rPr>
        <w:rStyle w:val="Strong"/>
      </w:rPr>
      <w:t>Library and Learning Services - Academic Librarian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3C4"/>
    <w:multiLevelType w:val="hybridMultilevel"/>
    <w:tmpl w:val="1A78B1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1A50C0"/>
    <w:multiLevelType w:val="hybridMultilevel"/>
    <w:tmpl w:val="CF80E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3DF4"/>
    <w:multiLevelType w:val="hybridMultilevel"/>
    <w:tmpl w:val="E0A8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6185"/>
    <w:multiLevelType w:val="multilevel"/>
    <w:tmpl w:val="E5AA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55BFC"/>
    <w:multiLevelType w:val="hybridMultilevel"/>
    <w:tmpl w:val="8CD2F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0147F"/>
    <w:multiLevelType w:val="multilevel"/>
    <w:tmpl w:val="25CEB1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C15CF"/>
    <w:multiLevelType w:val="multilevel"/>
    <w:tmpl w:val="CA7C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EE7597"/>
    <w:multiLevelType w:val="hybridMultilevel"/>
    <w:tmpl w:val="0A9A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6405C"/>
    <w:multiLevelType w:val="hybridMultilevel"/>
    <w:tmpl w:val="BA02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2439A"/>
    <w:multiLevelType w:val="hybridMultilevel"/>
    <w:tmpl w:val="3DA8B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50131"/>
    <w:multiLevelType w:val="multilevel"/>
    <w:tmpl w:val="D806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282DAD"/>
    <w:multiLevelType w:val="multilevel"/>
    <w:tmpl w:val="F13A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6A4F04"/>
    <w:multiLevelType w:val="hybridMultilevel"/>
    <w:tmpl w:val="FDF669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DE1F38"/>
    <w:multiLevelType w:val="multilevel"/>
    <w:tmpl w:val="A3F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092B97"/>
    <w:multiLevelType w:val="multilevel"/>
    <w:tmpl w:val="1312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A02460"/>
    <w:multiLevelType w:val="hybridMultilevel"/>
    <w:tmpl w:val="76D4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25CF6"/>
    <w:multiLevelType w:val="hybridMultilevel"/>
    <w:tmpl w:val="120C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52A12"/>
    <w:multiLevelType w:val="hybridMultilevel"/>
    <w:tmpl w:val="4A0AE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96263"/>
    <w:multiLevelType w:val="multilevel"/>
    <w:tmpl w:val="9C82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1644DE"/>
    <w:multiLevelType w:val="hybridMultilevel"/>
    <w:tmpl w:val="46BC0722"/>
    <w:lvl w:ilvl="0" w:tplc="DFF0A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2C2748"/>
    <w:multiLevelType w:val="multilevel"/>
    <w:tmpl w:val="6D3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90BD5"/>
    <w:multiLevelType w:val="hybridMultilevel"/>
    <w:tmpl w:val="51CC5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31FE5"/>
    <w:multiLevelType w:val="multilevel"/>
    <w:tmpl w:val="7D3262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B070B73"/>
    <w:multiLevelType w:val="multilevel"/>
    <w:tmpl w:val="BDD2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13"/>
  </w:num>
  <w:num w:numId="6">
    <w:abstractNumId w:val="7"/>
  </w:num>
  <w:num w:numId="7">
    <w:abstractNumId w:val="12"/>
  </w:num>
  <w:num w:numId="8">
    <w:abstractNumId w:val="19"/>
  </w:num>
  <w:num w:numId="9">
    <w:abstractNumId w:val="1"/>
  </w:num>
  <w:num w:numId="10">
    <w:abstractNumId w:val="18"/>
  </w:num>
  <w:num w:numId="11">
    <w:abstractNumId w:val="6"/>
  </w:num>
  <w:num w:numId="12">
    <w:abstractNumId w:val="2"/>
  </w:num>
  <w:num w:numId="13">
    <w:abstractNumId w:val="15"/>
  </w:num>
  <w:num w:numId="14">
    <w:abstractNumId w:val="16"/>
  </w:num>
  <w:num w:numId="15">
    <w:abstractNumId w:val="14"/>
  </w:num>
  <w:num w:numId="16">
    <w:abstractNumId w:val="8"/>
  </w:num>
  <w:num w:numId="17">
    <w:abstractNumId w:val="23"/>
  </w:num>
  <w:num w:numId="18">
    <w:abstractNumId w:val="3"/>
  </w:num>
  <w:num w:numId="19">
    <w:abstractNumId w:val="11"/>
  </w:num>
  <w:num w:numId="20">
    <w:abstractNumId w:val="20"/>
  </w:num>
  <w:num w:numId="21">
    <w:abstractNumId w:val="21"/>
  </w:num>
  <w:num w:numId="22">
    <w:abstractNumId w:val="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F7"/>
    <w:rsid w:val="000050F7"/>
    <w:rsid w:val="00097FFA"/>
    <w:rsid w:val="000F4803"/>
    <w:rsid w:val="00154840"/>
    <w:rsid w:val="0016032B"/>
    <w:rsid w:val="00191D84"/>
    <w:rsid w:val="00267A6F"/>
    <w:rsid w:val="002952CC"/>
    <w:rsid w:val="002D4B94"/>
    <w:rsid w:val="00341853"/>
    <w:rsid w:val="00364DEE"/>
    <w:rsid w:val="0039697C"/>
    <w:rsid w:val="00431900"/>
    <w:rsid w:val="0047588F"/>
    <w:rsid w:val="004F42B0"/>
    <w:rsid w:val="005379EE"/>
    <w:rsid w:val="00555C60"/>
    <w:rsid w:val="00570D77"/>
    <w:rsid w:val="005B2862"/>
    <w:rsid w:val="006232AB"/>
    <w:rsid w:val="006C67A1"/>
    <w:rsid w:val="00715F50"/>
    <w:rsid w:val="007167AE"/>
    <w:rsid w:val="00750551"/>
    <w:rsid w:val="00751E99"/>
    <w:rsid w:val="0079627C"/>
    <w:rsid w:val="007A565C"/>
    <w:rsid w:val="007B1072"/>
    <w:rsid w:val="007E3879"/>
    <w:rsid w:val="007E40C1"/>
    <w:rsid w:val="00860B7F"/>
    <w:rsid w:val="008940EC"/>
    <w:rsid w:val="00894F8F"/>
    <w:rsid w:val="008E3DB9"/>
    <w:rsid w:val="00905F42"/>
    <w:rsid w:val="00916AC1"/>
    <w:rsid w:val="0099775D"/>
    <w:rsid w:val="009D5D97"/>
    <w:rsid w:val="00A10B83"/>
    <w:rsid w:val="00A230BA"/>
    <w:rsid w:val="00A25859"/>
    <w:rsid w:val="00A73F50"/>
    <w:rsid w:val="00A83E16"/>
    <w:rsid w:val="00AD66F0"/>
    <w:rsid w:val="00AD7356"/>
    <w:rsid w:val="00AE26FD"/>
    <w:rsid w:val="00AE6227"/>
    <w:rsid w:val="00B06C28"/>
    <w:rsid w:val="00B316E3"/>
    <w:rsid w:val="00B60B3B"/>
    <w:rsid w:val="00BE7EF9"/>
    <w:rsid w:val="00CC240E"/>
    <w:rsid w:val="00D37DE2"/>
    <w:rsid w:val="00DA420C"/>
    <w:rsid w:val="00E97A3A"/>
    <w:rsid w:val="00F038CD"/>
    <w:rsid w:val="00F8688D"/>
    <w:rsid w:val="00F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F8407FD"/>
  <w14:defaultImageDpi w14:val="0"/>
  <w15:docId w15:val="{46155D98-73E2-4AF5-B45C-1FA65A9F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6E3"/>
    <w:pPr>
      <w:spacing w:after="240" w:line="240" w:lineRule="auto"/>
    </w:pPr>
    <w:rPr>
      <w:rFonts w:ascii="Verdana" w:hAnsi="Verdana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16E3"/>
    <w:pPr>
      <w:keepNext/>
      <w:keepLines/>
      <w:spacing w:before="240"/>
      <w:jc w:val="center"/>
      <w:outlineLvl w:val="0"/>
    </w:pPr>
    <w:rPr>
      <w:rFonts w:eastAsiaTheme="majorEastAsia"/>
      <w:b/>
      <w:sz w:val="29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16E3"/>
    <w:pPr>
      <w:keepNext/>
      <w:keepLines/>
      <w:outlineLvl w:val="1"/>
    </w:pPr>
    <w:rPr>
      <w:rFonts w:eastAsiaTheme="majorEastAsia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316E3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16E3"/>
    <w:rPr>
      <w:rFonts w:ascii="Verdana" w:eastAsiaTheme="majorEastAsia" w:hAnsi="Verdana" w:cs="Times New Roman"/>
      <w:b/>
      <w:sz w:val="29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316E3"/>
    <w:rPr>
      <w:rFonts w:ascii="Verdana" w:eastAsiaTheme="majorEastAsia" w:hAnsi="Verdana" w:cs="Times New Roman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005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C28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C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6C28"/>
    <w:rPr>
      <w:rFonts w:ascii="Open Sans" w:hAnsi="Open San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6C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6C28"/>
    <w:rPr>
      <w:rFonts w:ascii="Open Sans" w:hAnsi="Open Sans"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D97"/>
    <w:pPr>
      <w:numPr>
        <w:ilvl w:val="1"/>
      </w:numPr>
    </w:pPr>
    <w:rPr>
      <w:rFonts w:eastAsiaTheme="minorEastAsia" w:cstheme="minorBidi"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5D97"/>
    <w:rPr>
      <w:rFonts w:ascii="Open Sans" w:eastAsiaTheme="minorEastAsia" w:hAnsi="Open Sans" w:cstheme="minorBidi"/>
      <w:color w:val="4472C4" w:themeColor="accent1"/>
      <w:spacing w:val="15"/>
    </w:rPr>
  </w:style>
  <w:style w:type="paragraph" w:styleId="NormalWeb">
    <w:name w:val="Normal (Web)"/>
    <w:basedOn w:val="Normal"/>
    <w:uiPriority w:val="99"/>
    <w:unhideWhenUsed/>
    <w:rsid w:val="00097FF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D4B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C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316E3"/>
    <w:rPr>
      <w:rFonts w:ascii="Verdana" w:hAnsi="Verdana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16E3"/>
    <w:rPr>
      <w:rFonts w:ascii="Verdana" w:eastAsiaTheme="majorEastAsia" w:hAnsi="Verdana" w:cstheme="majorBidi"/>
      <w:b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cdf34d-6cea-4daa-a706-fba2f56190f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F83AE-6780-4E45-927F-AF803538D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5A24A-4424-4F80-B944-B236646C1D9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29df6c71-8a58-495e-9ec2-a4ddc2d5ff8c"/>
    <ds:schemaRef ds:uri="http://purl.org/dc/elements/1.1/"/>
    <ds:schemaRef ds:uri="8bcdf34d-6cea-4daa-a706-fba2f56190f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48C6E1-4AAB-4A2F-B996-09E1BC5D0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information - transcript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information - transcript</dc:title>
  <dc:subject/>
  <dc:creator>Academic Librarians</dc:creator>
  <cp:keywords/>
  <dc:description/>
  <cp:lastModifiedBy>Marlies Shepperdson</cp:lastModifiedBy>
  <cp:revision>9</cp:revision>
  <dcterms:created xsi:type="dcterms:W3CDTF">2020-05-07T11:30:00Z</dcterms:created>
  <dcterms:modified xsi:type="dcterms:W3CDTF">2020-07-16T11:41:00Z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  <property fmtid="{D5CDD505-2E9C-101B-9397-08002B2CF9AE}" pid="3" name="ComplianceAssetId">
    <vt:lpwstr/>
  </property>
</Properties>
</file>