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781E" w14:textId="04AC3A57" w:rsidR="00631BE6" w:rsidRDefault="000C642A" w:rsidP="00662C35">
      <w:pPr>
        <w:pStyle w:val="Heading1"/>
      </w:pPr>
      <w:r>
        <w:t>How to do Note-Taking by Nikki Woods</w:t>
      </w:r>
      <w:r w:rsidR="00662C35">
        <w:t xml:space="preserve"> </w:t>
      </w:r>
      <w:r w:rsidR="00662C35" w:rsidRPr="001534DD">
        <w:rPr>
          <w:b w:val="0"/>
          <w:sz w:val="22"/>
        </w:rPr>
        <w:t>[Video Transcript]</w:t>
      </w:r>
    </w:p>
    <w:p w14:paraId="42CFA322" w14:textId="77777777" w:rsidR="00631BE6" w:rsidRDefault="000C642A">
      <w:pPr>
        <w:widowControl w:val="0"/>
        <w:autoSpaceDE w:val="0"/>
        <w:autoSpaceDN w:val="0"/>
        <w:adjustRightInd w:val="0"/>
        <w:spacing w:after="200" w:line="240" w:lineRule="auto"/>
        <w:rPr>
          <w:rFonts w:cs="Verdana"/>
        </w:rPr>
      </w:pPr>
      <w:r>
        <w:rPr>
          <w:rFonts w:cs="Verdana"/>
        </w:rPr>
        <w:t>This video provides useful tips on note-taking.</w:t>
      </w:r>
    </w:p>
    <w:p w14:paraId="32B21DBA" w14:textId="77777777" w:rsidR="00631BE6" w:rsidRDefault="00631BE6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762B4242" w14:textId="7F711F94" w:rsidR="00631BE6" w:rsidRDefault="00662C35" w:rsidP="00662C35">
      <w:pPr>
        <w:pStyle w:val="Heading2"/>
        <w:rPr>
          <w:u w:val="single"/>
        </w:rPr>
      </w:pPr>
      <w:r w:rsidRPr="00662C35">
        <w:t>1.</w:t>
      </w:r>
      <w:r>
        <w:t xml:space="preserve"> </w:t>
      </w:r>
      <w:r w:rsidR="000C642A">
        <w:t>Why take Notes?</w:t>
      </w:r>
    </w:p>
    <w:p w14:paraId="7499C812" w14:textId="77777777" w:rsidR="00631BE6" w:rsidRDefault="000C642A" w:rsidP="00662C35">
      <w:r>
        <w:t>We take notes to capture the ‘key points’. Good notes offer clarification and allow you to review your ideas when using your notes for assignments or exams. Your notes are a summary of your reading and of your ‘active listening’ during the lectures and seminars. Above all, good notes will aid your understanding and retention of any information noted.</w:t>
      </w:r>
    </w:p>
    <w:p w14:paraId="4A9D6289" w14:textId="77777777" w:rsidR="00631BE6" w:rsidRDefault="000C642A" w:rsidP="00662C35">
      <w:r>
        <w:t xml:space="preserve">Remember there is no right or wrong way to do note-taking, choose a method which is preferable to you.  </w:t>
      </w:r>
    </w:p>
    <w:p w14:paraId="12D9EF53" w14:textId="77777777" w:rsidR="00631BE6" w:rsidRPr="00662C35" w:rsidRDefault="000C642A">
      <w:pPr>
        <w:widowControl w:val="0"/>
        <w:autoSpaceDE w:val="0"/>
        <w:autoSpaceDN w:val="0"/>
        <w:adjustRightInd w:val="0"/>
        <w:spacing w:after="200" w:line="240" w:lineRule="auto"/>
        <w:rPr>
          <w:rStyle w:val="Strong"/>
        </w:rPr>
      </w:pPr>
      <w:r w:rsidRPr="00662C35">
        <w:rPr>
          <w:rStyle w:val="Strong"/>
        </w:rPr>
        <w:t xml:space="preserve">The key is to develop a system which allows you to do the “3 </w:t>
      </w:r>
      <w:proofErr w:type="spellStart"/>
      <w:r w:rsidRPr="00662C35">
        <w:rPr>
          <w:rStyle w:val="Strong"/>
        </w:rPr>
        <w:t>Rs</w:t>
      </w:r>
      <w:proofErr w:type="spellEnd"/>
      <w:r w:rsidRPr="00662C35">
        <w:rPr>
          <w:rStyle w:val="Strong"/>
        </w:rPr>
        <w:t>”:</w:t>
      </w:r>
    </w:p>
    <w:p w14:paraId="4DBEF68D" w14:textId="78F32D1D" w:rsidR="00631BE6" w:rsidRDefault="00662C35" w:rsidP="00662C35">
      <w:pPr>
        <w:pStyle w:val="ListParagraph"/>
        <w:spacing w:after="120"/>
      </w:pPr>
      <w:r>
        <w:t>1.</w:t>
      </w:r>
      <w:r w:rsidR="000C642A">
        <w:t>1.</w:t>
      </w:r>
      <w:r w:rsidR="000C642A">
        <w:tab/>
        <w:t>Read (understanding your subject)</w:t>
      </w:r>
      <w:r w:rsidR="00A17E8B">
        <w:t>.</w:t>
      </w:r>
    </w:p>
    <w:p w14:paraId="3205704A" w14:textId="0838AD39" w:rsidR="00631BE6" w:rsidRDefault="00662C35" w:rsidP="00662C35">
      <w:pPr>
        <w:pStyle w:val="ListParagraph"/>
        <w:spacing w:after="120"/>
      </w:pPr>
      <w:r>
        <w:t>1.</w:t>
      </w:r>
      <w:r w:rsidR="000C642A">
        <w:t>2.</w:t>
      </w:r>
      <w:r w:rsidR="000C642A">
        <w:tab/>
        <w:t>Reflect (understanding, developing and linking your read notes)</w:t>
      </w:r>
      <w:r w:rsidR="00A17E8B">
        <w:t>.</w:t>
      </w:r>
    </w:p>
    <w:p w14:paraId="15B1A465" w14:textId="5A5722B4" w:rsidR="00631BE6" w:rsidRDefault="00662C35" w:rsidP="00662C35">
      <w:pPr>
        <w:pStyle w:val="ListParagraph"/>
        <w:spacing w:after="120"/>
      </w:pPr>
      <w:r>
        <w:t>1.</w:t>
      </w:r>
      <w:r w:rsidR="000C642A">
        <w:t>3.</w:t>
      </w:r>
      <w:r w:rsidR="000C642A">
        <w:tab/>
        <w:t>Review (analysis, evaluation and synthesis of your notes)</w:t>
      </w:r>
      <w:r w:rsidR="00A17E8B">
        <w:t>.</w:t>
      </w:r>
      <w:bookmarkStart w:id="0" w:name="_GoBack"/>
      <w:bookmarkEnd w:id="0"/>
    </w:p>
    <w:p w14:paraId="247597C6" w14:textId="0C505838" w:rsidR="00631BE6" w:rsidRDefault="00662C35" w:rsidP="00662C35">
      <w:pPr>
        <w:pStyle w:val="Heading2"/>
      </w:pPr>
      <w:r>
        <w:t xml:space="preserve">2. </w:t>
      </w:r>
      <w:r w:rsidR="000C642A">
        <w:t>Note-Prepping Pre-Lecture</w:t>
      </w:r>
      <w:r>
        <w:t>.</w:t>
      </w:r>
    </w:p>
    <w:p w14:paraId="4E4C4126" w14:textId="038632D7" w:rsidR="00631BE6" w:rsidRDefault="000C642A">
      <w:pPr>
        <w:widowControl w:val="0"/>
        <w:autoSpaceDE w:val="0"/>
        <w:autoSpaceDN w:val="0"/>
        <w:adjustRightInd w:val="0"/>
        <w:spacing w:after="200" w:line="240" w:lineRule="auto"/>
        <w:rPr>
          <w:rFonts w:cs="Verdana"/>
        </w:rPr>
      </w:pPr>
      <w:r>
        <w:rPr>
          <w:rFonts w:cs="Verdana"/>
        </w:rPr>
        <w:t>It may help and if you have time, to prepare before the lecture by completing any note-</w:t>
      </w:r>
      <w:r w:rsidR="00662C35">
        <w:rPr>
          <w:rFonts w:cs="Verdana"/>
        </w:rPr>
        <w:t xml:space="preserve">prepping. </w:t>
      </w:r>
      <w:r>
        <w:rPr>
          <w:rFonts w:cs="Verdana"/>
        </w:rPr>
        <w:t>This can either be reading or skimming any notes and all you are doing at this stage are making mini-notes to act as a guide to be used during the lecture.</w:t>
      </w:r>
    </w:p>
    <w:p w14:paraId="77266AB0" w14:textId="3F20300D" w:rsidR="00631BE6" w:rsidRDefault="00662C35" w:rsidP="00662C35">
      <w:pPr>
        <w:pStyle w:val="Heading2"/>
      </w:pPr>
      <w:r>
        <w:t xml:space="preserve">3. </w:t>
      </w:r>
      <w:r w:rsidR="000C642A">
        <w:t>Listening Note-Taking during the Lecture</w:t>
      </w:r>
      <w:r>
        <w:t>.</w:t>
      </w:r>
    </w:p>
    <w:p w14:paraId="17D7D1E2" w14:textId="397DBE54" w:rsidR="00631BE6" w:rsidRDefault="000C642A">
      <w:pPr>
        <w:widowControl w:val="0"/>
        <w:autoSpaceDE w:val="0"/>
        <w:autoSpaceDN w:val="0"/>
        <w:adjustRightInd w:val="0"/>
        <w:spacing w:after="200" w:line="240" w:lineRule="auto"/>
        <w:rPr>
          <w:rFonts w:cs="Verdana"/>
        </w:rPr>
      </w:pPr>
      <w:r>
        <w:rPr>
          <w:rFonts w:cs="Verdana"/>
        </w:rPr>
        <w:t>It is advisable to arrive five minutes early before the lecture begins – find a place where you can see clearly and do active listening. Use your mini-notes as a guide, these will provide the essential ‘pause’ needed to note ‘key words’ and information that you can write succinctly to avoid taking copious note</w:t>
      </w:r>
      <w:r w:rsidR="00662C35">
        <w:rPr>
          <w:rFonts w:cs="Verdana"/>
        </w:rPr>
        <w:t xml:space="preserve">s which can be time consuming. </w:t>
      </w:r>
      <w:r>
        <w:rPr>
          <w:rFonts w:cs="Verdana"/>
        </w:rPr>
        <w:t>If you miss any information, leave space on your page for missed notes which can be completed after the lecture. It helps to take notes in a logical order and to aid better understanding you may choose to use different colours, symbols and abbreviations.</w:t>
      </w:r>
    </w:p>
    <w:p w14:paraId="637BAC9B" w14:textId="4D279E36" w:rsidR="00631BE6" w:rsidRDefault="00662C35" w:rsidP="00662C35">
      <w:pPr>
        <w:pStyle w:val="Heading2"/>
      </w:pPr>
      <w:r>
        <w:t xml:space="preserve">4. </w:t>
      </w:r>
      <w:r w:rsidR="000C642A">
        <w:t>Note-Neaten Post-Lecture</w:t>
      </w:r>
      <w:r>
        <w:t>.</w:t>
      </w:r>
    </w:p>
    <w:p w14:paraId="7D82F83E" w14:textId="67989BEB" w:rsidR="00631BE6" w:rsidRDefault="000C642A">
      <w:pPr>
        <w:widowControl w:val="0"/>
        <w:autoSpaceDE w:val="0"/>
        <w:autoSpaceDN w:val="0"/>
        <w:adjustRightInd w:val="0"/>
        <w:spacing w:after="200" w:line="240" w:lineRule="auto"/>
        <w:rPr>
          <w:rFonts w:cs="Verdana"/>
        </w:rPr>
      </w:pPr>
      <w:r>
        <w:rPr>
          <w:rFonts w:cs="Verdana"/>
        </w:rPr>
        <w:t>Note-neaten the lecture notes within 24 hours while it is still fresh in your head, espec</w:t>
      </w:r>
      <w:r w:rsidR="00662C35">
        <w:rPr>
          <w:rFonts w:cs="Verdana"/>
        </w:rPr>
        <w:t xml:space="preserve">ially if a Dictaphone is used. </w:t>
      </w:r>
      <w:r>
        <w:rPr>
          <w:rFonts w:cs="Verdana"/>
        </w:rPr>
        <w:t>C</w:t>
      </w:r>
      <w:r w:rsidR="00662C35">
        <w:rPr>
          <w:rFonts w:cs="Verdana"/>
        </w:rPr>
        <w:t xml:space="preserve">omplete any gaps in the notes. </w:t>
      </w:r>
      <w:r>
        <w:rPr>
          <w:rFonts w:cs="Verdana"/>
        </w:rPr>
        <w:t>Get clarity on any points m</w:t>
      </w:r>
      <w:r w:rsidR="00662C35">
        <w:rPr>
          <w:rFonts w:cs="Verdana"/>
        </w:rPr>
        <w:t xml:space="preserve">issed. </w:t>
      </w:r>
      <w:r>
        <w:rPr>
          <w:rFonts w:cs="Verdana"/>
        </w:rPr>
        <w:t>For future and quick reference, summarise the note-taking pages into one paragraph.</w:t>
      </w:r>
      <w:r w:rsidR="00662C35">
        <w:rPr>
          <w:rFonts w:cs="Verdana"/>
        </w:rPr>
        <w:t xml:space="preserve"> </w:t>
      </w:r>
    </w:p>
    <w:p w14:paraId="247A64E7" w14:textId="6DB812F0" w:rsidR="00631BE6" w:rsidRDefault="000C642A" w:rsidP="00662C35">
      <w:pPr>
        <w:pStyle w:val="Heading2"/>
      </w:pPr>
      <w:r>
        <w:t>5. Note-taking Styles</w:t>
      </w:r>
      <w:r w:rsidR="00662C35">
        <w:t>.</w:t>
      </w:r>
      <w:r>
        <w:t xml:space="preserve"> </w:t>
      </w:r>
    </w:p>
    <w:p w14:paraId="067DA77F" w14:textId="77777777" w:rsidR="00631BE6" w:rsidRDefault="000C642A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For your note-taking choose a method to help structure your notes. You may choose to experiment with these techniques to find your preferred choice.</w:t>
      </w:r>
    </w:p>
    <w:p w14:paraId="1D8F61BF" w14:textId="77777777" w:rsidR="00631BE6" w:rsidRDefault="00631BE6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0A58F1E" w14:textId="50BFE950" w:rsidR="00631BE6" w:rsidRPr="00662C35" w:rsidRDefault="000C642A" w:rsidP="000C642A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ind w:left="426" w:hanging="425"/>
        <w:rPr>
          <w:rFonts w:cs="Verdana"/>
        </w:rPr>
      </w:pPr>
      <w:r w:rsidRPr="00662C35">
        <w:rPr>
          <w:rFonts w:cs="Verdana"/>
        </w:rPr>
        <w:lastRenderedPageBreak/>
        <w:t>Linear Notes</w:t>
      </w:r>
      <w:r>
        <w:rPr>
          <w:rFonts w:cs="Verdana"/>
        </w:rPr>
        <w:t>:</w:t>
      </w:r>
      <w:r w:rsidRPr="00662C35">
        <w:rPr>
          <w:rFonts w:cs="Verdana"/>
        </w:rPr>
        <w:t xml:space="preserve"> </w:t>
      </w:r>
    </w:p>
    <w:p w14:paraId="0B2B877E" w14:textId="071B3974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Making notes in lists or phrases</w:t>
      </w:r>
      <w:r w:rsidR="00662C35">
        <w:rPr>
          <w:rFonts w:cs="Verdana"/>
        </w:rPr>
        <w:t>.</w:t>
      </w:r>
    </w:p>
    <w:p w14:paraId="1FF990E4" w14:textId="23D9CBBE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Structured and logical.</w:t>
      </w:r>
    </w:p>
    <w:p w14:paraId="4438436F" w14:textId="0B48626B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Key/buzz words and phrases.</w:t>
      </w:r>
    </w:p>
    <w:p w14:paraId="3D7FD38A" w14:textId="778D4D21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Heading and indenting sub-headings.</w:t>
      </w:r>
    </w:p>
    <w:p w14:paraId="6BE32348" w14:textId="594F709F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Underlining, highlighting and colouring key points.</w:t>
      </w:r>
    </w:p>
    <w:p w14:paraId="03CD6C4F" w14:textId="76B96A7F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Annotated notes.</w:t>
      </w:r>
    </w:p>
    <w:p w14:paraId="7AC0BC95" w14:textId="271F3E70" w:rsidR="00631BE6" w:rsidRDefault="000C64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Able to incorporate charts, tables and diagrams.</w:t>
      </w:r>
    </w:p>
    <w:p w14:paraId="07B358FD" w14:textId="6F22489D" w:rsidR="00631BE6" w:rsidRPr="000C642A" w:rsidRDefault="000C642A" w:rsidP="000C642A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ind w:left="709" w:hanging="709"/>
        <w:rPr>
          <w:rFonts w:cs="Verdana"/>
        </w:rPr>
      </w:pPr>
      <w:r>
        <w:rPr>
          <w:rFonts w:cs="Verdana"/>
        </w:rPr>
        <w:t>Straight Prose:</w:t>
      </w:r>
    </w:p>
    <w:p w14:paraId="0669A50D" w14:textId="0AAB7C06" w:rsidR="00631BE6" w:rsidRDefault="000C64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  <w:u w:val="single"/>
        </w:rPr>
      </w:pPr>
      <w:r>
        <w:rPr>
          <w:rFonts w:cs="Verdana"/>
        </w:rPr>
        <w:t>Direct notes and to summarise information.</w:t>
      </w:r>
    </w:p>
    <w:p w14:paraId="66D1EDA4" w14:textId="774EA1F1" w:rsidR="00631BE6" w:rsidRPr="000C642A" w:rsidRDefault="000C642A" w:rsidP="000C642A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ind w:left="709" w:hanging="709"/>
        <w:rPr>
          <w:rFonts w:cs="Verdana"/>
        </w:rPr>
      </w:pPr>
      <w:r w:rsidRPr="000C642A">
        <w:rPr>
          <w:rFonts w:cs="Verdana"/>
        </w:rPr>
        <w:t>Mind-Mapping</w:t>
      </w:r>
      <w:r>
        <w:rPr>
          <w:rFonts w:cs="Verdana"/>
        </w:rPr>
        <w:t>:</w:t>
      </w:r>
      <w:r w:rsidRPr="000C642A">
        <w:rPr>
          <w:rFonts w:cs="Verdana"/>
        </w:rPr>
        <w:t xml:space="preserve"> </w:t>
      </w:r>
    </w:p>
    <w:p w14:paraId="1E96951B" w14:textId="34142CE0" w:rsidR="00631BE6" w:rsidRDefault="000C64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  <w:u w:val="single"/>
        </w:rPr>
      </w:pPr>
      <w:r>
        <w:rPr>
          <w:rFonts w:cs="Verdana"/>
        </w:rPr>
        <w:t>Please see the mind-mapping video.</w:t>
      </w:r>
    </w:p>
    <w:p w14:paraId="4751FD60" w14:textId="37D8F217" w:rsidR="00631BE6" w:rsidRPr="000C642A" w:rsidRDefault="000C642A" w:rsidP="000C642A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ind w:left="709" w:hanging="709"/>
        <w:rPr>
          <w:rFonts w:cs="Verdana"/>
        </w:rPr>
      </w:pPr>
      <w:r w:rsidRPr="000C642A">
        <w:rPr>
          <w:rFonts w:cs="Verdana"/>
        </w:rPr>
        <w:t>Cornell Method</w:t>
      </w:r>
      <w:r>
        <w:rPr>
          <w:rFonts w:cs="Verdana"/>
        </w:rPr>
        <w:t>:</w:t>
      </w:r>
    </w:p>
    <w:p w14:paraId="2F7233BA" w14:textId="3DAFBA50" w:rsidR="00631BE6" w:rsidRDefault="000C64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ind w:left="1080"/>
        <w:rPr>
          <w:rFonts w:cs="Verdana"/>
        </w:rPr>
      </w:pPr>
      <w:r>
        <w:rPr>
          <w:rFonts w:cs="Verdana"/>
        </w:rPr>
        <w:t>The Cornell Method note-taking provides space on the left for key ideas, details to the lines on the right and a summary of your notes on the bottom.</w:t>
      </w:r>
    </w:p>
    <w:p w14:paraId="20449E1D" w14:textId="77777777" w:rsidR="00631BE6" w:rsidRDefault="000C642A">
      <w:pPr>
        <w:widowControl w:val="0"/>
        <w:autoSpaceDE w:val="0"/>
        <w:autoSpaceDN w:val="0"/>
        <w:adjustRightInd w:val="0"/>
        <w:spacing w:after="200" w:line="240" w:lineRule="auto"/>
        <w:rPr>
          <w:rFonts w:cs="Verdana"/>
        </w:rPr>
      </w:pPr>
      <w:r>
        <w:rPr>
          <w:rFonts w:cs="Verdana"/>
        </w:rPr>
        <w:t xml:space="preserve">Now you know about these tips, why not give it a go. If you need any help, please visit us at </w:t>
      </w:r>
      <w:proofErr w:type="spellStart"/>
      <w:r>
        <w:rPr>
          <w:rFonts w:cs="Verdana"/>
        </w:rPr>
        <w:t>CfAP</w:t>
      </w:r>
      <w:proofErr w:type="spellEnd"/>
      <w:r>
        <w:rPr>
          <w:rFonts w:cs="Verdana"/>
        </w:rPr>
        <w:t>.</w:t>
      </w:r>
    </w:p>
    <w:p w14:paraId="76E40F09" w14:textId="43F84445" w:rsidR="00631BE6" w:rsidRDefault="000C642A" w:rsidP="000C642A">
      <w:pPr>
        <w:widowControl w:val="0"/>
        <w:autoSpaceDE w:val="0"/>
        <w:autoSpaceDN w:val="0"/>
        <w:adjustRightInd w:val="0"/>
        <w:spacing w:after="200" w:line="240" w:lineRule="auto"/>
        <w:rPr>
          <w:rFonts w:cs="Verdana"/>
        </w:rPr>
      </w:pPr>
      <w:r>
        <w:rPr>
          <w:rFonts w:cs="Verdana"/>
        </w:rPr>
        <w:t xml:space="preserve">Good luck and thank you. </w:t>
      </w:r>
    </w:p>
    <w:p w14:paraId="2621C0B6" w14:textId="77777777" w:rsidR="00631BE6" w:rsidRDefault="00631BE6">
      <w:pPr>
        <w:widowControl w:val="0"/>
        <w:autoSpaceDE w:val="0"/>
        <w:autoSpaceDN w:val="0"/>
        <w:adjustRightInd w:val="0"/>
        <w:spacing w:after="200" w:line="276" w:lineRule="auto"/>
        <w:rPr>
          <w:rFonts w:cs="Verdana"/>
        </w:rPr>
      </w:pPr>
    </w:p>
    <w:sectPr w:rsidR="00631BE6" w:rsidSect="00385A0E">
      <w:headerReference w:type="default" r:id="rId10"/>
      <w:footerReference w:type="default" r:id="rId11"/>
      <w:pgSz w:w="12240" w:h="15840"/>
      <w:pgMar w:top="1134" w:right="1134" w:bottom="1276" w:left="1134" w:header="720" w:footer="2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42B1" w14:textId="77777777" w:rsidR="00385A0E" w:rsidRDefault="00385A0E" w:rsidP="00385A0E">
      <w:pPr>
        <w:spacing w:after="0" w:line="240" w:lineRule="auto"/>
      </w:pPr>
      <w:r>
        <w:separator/>
      </w:r>
    </w:p>
  </w:endnote>
  <w:endnote w:type="continuationSeparator" w:id="0">
    <w:p w14:paraId="60AB0B01" w14:textId="77777777" w:rsidR="00385A0E" w:rsidRDefault="00385A0E" w:rsidP="0038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55C1" w14:textId="1B67726F" w:rsidR="000C642A" w:rsidRDefault="00385A0E" w:rsidP="000C642A">
    <w:pPr>
      <w:pStyle w:val="Footer"/>
      <w:spacing w:after="0" w:line="240" w:lineRule="auto"/>
      <w:jc w:val="center"/>
      <w:rPr>
        <w:bCs/>
        <w:sz w:val="20"/>
        <w:szCs w:val="20"/>
      </w:rPr>
    </w:pPr>
    <w:r w:rsidRPr="00385A0E">
      <w:rPr>
        <w:sz w:val="20"/>
        <w:szCs w:val="20"/>
      </w:rPr>
      <w:t xml:space="preserve">Page </w:t>
    </w:r>
    <w:r w:rsidRPr="00385A0E">
      <w:rPr>
        <w:bCs/>
        <w:sz w:val="20"/>
        <w:szCs w:val="20"/>
      </w:rPr>
      <w:fldChar w:fldCharType="begin"/>
    </w:r>
    <w:r w:rsidRPr="00385A0E">
      <w:rPr>
        <w:bCs/>
        <w:sz w:val="20"/>
        <w:szCs w:val="20"/>
      </w:rPr>
      <w:instrText xml:space="preserve"> PAGE </w:instrText>
    </w:r>
    <w:r w:rsidRPr="00385A0E">
      <w:rPr>
        <w:bCs/>
        <w:sz w:val="20"/>
        <w:szCs w:val="20"/>
      </w:rPr>
      <w:fldChar w:fldCharType="separate"/>
    </w:r>
    <w:r w:rsidR="00A17E8B">
      <w:rPr>
        <w:bCs/>
        <w:noProof/>
        <w:sz w:val="20"/>
        <w:szCs w:val="20"/>
      </w:rPr>
      <w:t>2</w:t>
    </w:r>
    <w:r w:rsidRPr="00385A0E">
      <w:rPr>
        <w:bCs/>
        <w:sz w:val="20"/>
        <w:szCs w:val="20"/>
      </w:rPr>
      <w:fldChar w:fldCharType="end"/>
    </w:r>
    <w:r w:rsidRPr="00385A0E">
      <w:rPr>
        <w:sz w:val="20"/>
        <w:szCs w:val="20"/>
      </w:rPr>
      <w:t xml:space="preserve"> of </w:t>
    </w:r>
    <w:r w:rsidRPr="00385A0E">
      <w:rPr>
        <w:bCs/>
        <w:sz w:val="20"/>
        <w:szCs w:val="20"/>
      </w:rPr>
      <w:fldChar w:fldCharType="begin"/>
    </w:r>
    <w:r w:rsidRPr="00385A0E">
      <w:rPr>
        <w:bCs/>
        <w:sz w:val="20"/>
        <w:szCs w:val="20"/>
      </w:rPr>
      <w:instrText xml:space="preserve"> NUMPAGES  </w:instrText>
    </w:r>
    <w:r w:rsidRPr="00385A0E">
      <w:rPr>
        <w:bCs/>
        <w:sz w:val="20"/>
        <w:szCs w:val="20"/>
      </w:rPr>
      <w:fldChar w:fldCharType="separate"/>
    </w:r>
    <w:r w:rsidR="00A17E8B">
      <w:rPr>
        <w:bCs/>
        <w:noProof/>
        <w:sz w:val="20"/>
        <w:szCs w:val="20"/>
      </w:rPr>
      <w:t>2</w:t>
    </w:r>
    <w:r w:rsidRPr="00385A0E">
      <w:rPr>
        <w:bCs/>
        <w:sz w:val="20"/>
        <w:szCs w:val="20"/>
      </w:rPr>
      <w:fldChar w:fldCharType="end"/>
    </w:r>
  </w:p>
  <w:p w14:paraId="406CB949" w14:textId="49D198BF" w:rsidR="00385A0E" w:rsidRDefault="00385A0E" w:rsidP="000C642A">
    <w:pPr>
      <w:pStyle w:val="Footer"/>
      <w:spacing w:after="0" w:line="240" w:lineRule="auto"/>
    </w:pPr>
    <w:r>
      <w:rPr>
        <w:noProof/>
      </w:rPr>
      <w:tab/>
    </w:r>
    <w:r>
      <w:rPr>
        <w:noProof/>
      </w:rPr>
      <w:tab/>
    </w:r>
    <w:r w:rsidR="00662C35" w:rsidRPr="002949FB">
      <w:rPr>
        <w:noProof/>
      </w:rPr>
      <w:drawing>
        <wp:inline distT="0" distB="0" distL="0" distR="0" wp14:anchorId="76C56703" wp14:editId="31B5877F">
          <wp:extent cx="334645" cy="470535"/>
          <wp:effectExtent l="0" t="0" r="0" b="0"/>
          <wp:docPr id="91" name="Picture 9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1" t="24368" r="36194" b="24173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41ED" w14:textId="77777777" w:rsidR="00385A0E" w:rsidRDefault="00385A0E" w:rsidP="00385A0E">
      <w:pPr>
        <w:spacing w:after="0" w:line="240" w:lineRule="auto"/>
      </w:pPr>
      <w:r>
        <w:separator/>
      </w:r>
    </w:p>
  </w:footnote>
  <w:footnote w:type="continuationSeparator" w:id="0">
    <w:p w14:paraId="363F5A9A" w14:textId="77777777" w:rsidR="00385A0E" w:rsidRDefault="00385A0E" w:rsidP="0038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2CF1" w14:textId="7F6542DA" w:rsidR="00385A0E" w:rsidRDefault="00662C35" w:rsidP="00385A0E">
    <w:pPr>
      <w:pStyle w:val="Header"/>
      <w:spacing w:after="0"/>
    </w:pPr>
    <w:r w:rsidRPr="002949FB">
      <w:rPr>
        <w:noProof/>
      </w:rPr>
      <w:drawing>
        <wp:inline distT="0" distB="0" distL="0" distR="0" wp14:anchorId="2BBC6D9A" wp14:editId="6DFF8A30">
          <wp:extent cx="1214755" cy="340995"/>
          <wp:effectExtent l="0" t="0" r="0" b="0"/>
          <wp:docPr id="90" name="Picture 90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2D0C11"/>
    <w:multiLevelType w:val="multilevel"/>
    <w:tmpl w:val="2FC054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10C6294D"/>
    <w:multiLevelType w:val="hybridMultilevel"/>
    <w:tmpl w:val="815C371A"/>
    <w:lvl w:ilvl="0" w:tplc="912A7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E31"/>
    <w:multiLevelType w:val="multilevel"/>
    <w:tmpl w:val="57D86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5AE120BA"/>
    <w:multiLevelType w:val="multilevel"/>
    <w:tmpl w:val="66484C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0E"/>
    <w:rsid w:val="000C642A"/>
    <w:rsid w:val="00385A0E"/>
    <w:rsid w:val="00631BE6"/>
    <w:rsid w:val="00662C35"/>
    <w:rsid w:val="00A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732F91"/>
  <w14:defaultImageDpi w14:val="0"/>
  <w15:docId w15:val="{395BBDB3-871A-45F6-B7A3-984C413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C35"/>
    <w:pPr>
      <w:spacing w:after="24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C35"/>
    <w:pPr>
      <w:keepNext/>
      <w:spacing w:before="12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C35"/>
    <w:pPr>
      <w:keepNext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5A0E"/>
  </w:style>
  <w:style w:type="paragraph" w:styleId="Footer">
    <w:name w:val="footer"/>
    <w:basedOn w:val="Normal"/>
    <w:link w:val="FooterChar"/>
    <w:uiPriority w:val="99"/>
    <w:unhideWhenUsed/>
    <w:rsid w:val="00385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0E"/>
  </w:style>
  <w:style w:type="character" w:customStyle="1" w:styleId="Heading1Char">
    <w:name w:val="Heading 1 Char"/>
    <w:basedOn w:val="DefaultParagraphFont"/>
    <w:link w:val="Heading1"/>
    <w:uiPriority w:val="9"/>
    <w:rsid w:val="00662C35"/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C35"/>
    <w:rPr>
      <w:rFonts w:ascii="Verdana" w:eastAsiaTheme="majorEastAsia" w:hAnsi="Verdana" w:cstheme="majorBidi"/>
      <w:b/>
      <w:bCs/>
      <w:iCs/>
      <w:sz w:val="24"/>
      <w:szCs w:val="28"/>
    </w:rPr>
  </w:style>
  <w:style w:type="character" w:styleId="Strong">
    <w:name w:val="Strong"/>
    <w:basedOn w:val="DefaultParagraphFont"/>
    <w:uiPriority w:val="22"/>
    <w:qFormat/>
    <w:rsid w:val="00662C35"/>
    <w:rPr>
      <w:b/>
      <w:bCs/>
    </w:rPr>
  </w:style>
  <w:style w:type="paragraph" w:styleId="ListParagraph">
    <w:name w:val="List Paragraph"/>
    <w:basedOn w:val="Normal"/>
    <w:uiPriority w:val="34"/>
    <w:qFormat/>
    <w:rsid w:val="00662C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2952B-1484-44B0-9B0E-C6C19E255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E4522-40CC-47DE-9001-096D5D56A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8B58E-1B98-429C-8BE0-653F7BC21E2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9df6c71-8a58-495e-9ec2-a4ddc2d5ff8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bcdf34d-6cea-4daa-a706-fba2f5619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to do Note-Taking transcript</dc:title>
  <dc:subject/>
  <dc:creator>Learning Development</dc:creator>
  <cp:keywords/>
  <dc:description/>
  <cp:lastModifiedBy>Marlies Shepperdson</cp:lastModifiedBy>
  <cp:revision>4</cp:revision>
  <dcterms:created xsi:type="dcterms:W3CDTF">2020-07-06T13:33:00Z</dcterms:created>
  <dcterms:modified xsi:type="dcterms:W3CDTF">2020-07-07T11:48:00Z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